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F69AC8B" w:rsidR="00F92268" w:rsidRPr="00FF66BF" w:rsidRDefault="00807A85" w:rsidP="00F246C7">
            <w:pPr>
              <w:pStyle w:val="RefTableHeader"/>
            </w:pPr>
            <w:r>
              <w:rPr>
                <w:rFonts w:ascii="Arial" w:hAnsi="Arial"/>
              </w:rPr>
              <w:t>5638</w:t>
            </w:r>
            <w:r w:rsidRPr="006917F9">
              <w:rPr>
                <w:rFonts w:ascii="Arial" w:hAnsi="Arial"/>
              </w:rPr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32324CF" w:rsidR="004B15BB" w:rsidRPr="00D90A20" w:rsidRDefault="00D90A20" w:rsidP="007E5C16">
      <w:pPr>
        <w:pStyle w:val="Heading1"/>
      </w:pPr>
      <w:r w:rsidRPr="00D90A20">
        <w:t>Specialty Guideline Management</w:t>
      </w:r>
      <w:r w:rsidR="0045790D" w:rsidRPr="00BD1CC1">
        <w:br/>
      </w:r>
      <w:proofErr w:type="spellStart"/>
      <w:r w:rsidRPr="00D90A20">
        <w:t>Lytgobi</w:t>
      </w:r>
      <w:proofErr w:type="spellEnd"/>
    </w:p>
    <w:p w14:paraId="78861C92" w14:textId="6851354D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9D34BAE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B29B2" w:rsidRPr="00CB29B2">
        <w:t>Over</w:t>
      </w:r>
      <w:r w:rsidR="0018073D">
        <w:t>-</w:t>
      </w:r>
      <w:r w:rsidR="00CB29B2" w:rsidRPr="00CB29B2">
        <w:t>the</w:t>
      </w:r>
      <w:r w:rsidR="0018073D">
        <w:t>-</w:t>
      </w:r>
      <w:r w:rsidR="00CB29B2" w:rsidRPr="00CB29B2">
        <w:t>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640BB5D3" w:rsidR="005B4D7C" w:rsidRPr="00BD1CC1" w:rsidRDefault="00D90A20">
            <w:pPr>
              <w:pStyle w:val="TableDataUnpadded"/>
            </w:pPr>
            <w:proofErr w:type="spellStart"/>
            <w:r w:rsidRPr="00D90A20">
              <w:t>Lytgobi</w:t>
            </w:r>
            <w:proofErr w:type="spellEnd"/>
          </w:p>
        </w:tc>
        <w:tc>
          <w:tcPr>
            <w:tcW w:w="5595" w:type="dxa"/>
          </w:tcPr>
          <w:p w14:paraId="1A09710D" w14:textId="7D0EB527" w:rsidR="005B4D7C" w:rsidRPr="00BD1CC1" w:rsidRDefault="00D90A20">
            <w:pPr>
              <w:pStyle w:val="TableDataUnpadded"/>
            </w:pPr>
            <w:proofErr w:type="spellStart"/>
            <w:r w:rsidRPr="00D90A20">
              <w:t>futibatinib</w:t>
            </w:r>
            <w:proofErr w:type="spellEnd"/>
          </w:p>
        </w:tc>
      </w:tr>
    </w:tbl>
    <w:p w14:paraId="14CE6108" w14:textId="1474CB6D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4AF77A5F" w14:textId="77777777" w:rsidR="00E157FA" w:rsidRPr="008D1D8B" w:rsidRDefault="00E157FA" w:rsidP="00E157FA">
      <w:pPr>
        <w:pStyle w:val="BodyText"/>
      </w:pPr>
      <w:r w:rsidRPr="008D1D8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494626F8" w14:textId="419BF24F" w:rsidR="00D90A20" w:rsidRPr="00644FD1" w:rsidRDefault="00D90A20" w:rsidP="00D90A20">
      <w:pPr>
        <w:pStyle w:val="Heading3"/>
      </w:pPr>
      <w:r w:rsidRPr="00644FD1">
        <w:t>FDA-</w:t>
      </w:r>
      <w:r w:rsidR="003A2886">
        <w:t>a</w:t>
      </w:r>
      <w:r w:rsidRPr="00644FD1">
        <w:t>pproved Indication</w:t>
      </w:r>
    </w:p>
    <w:p w14:paraId="2351C93E" w14:textId="77777777" w:rsidR="00D90A20" w:rsidRDefault="00D90A20" w:rsidP="00D90A20">
      <w:pPr>
        <w:pStyle w:val="BodyText"/>
      </w:pPr>
      <w:r>
        <w:t>Treatment of adult patients with previously treated, unresectable, locally advanced or metastatic intrahepatic cholangiocarcinoma harboring fibroblast growth factor receptor 2 (FGFR2) gene fusions or other rearrangements.</w:t>
      </w:r>
    </w:p>
    <w:p w14:paraId="4D78D935" w14:textId="16AB9F30" w:rsidR="00D90A20" w:rsidRPr="00D90A20" w:rsidRDefault="00D90A20" w:rsidP="00D90A20">
      <w:pPr>
        <w:pStyle w:val="Heading3"/>
      </w:pPr>
      <w:r w:rsidRPr="00D90A20">
        <w:t>Compendial Use</w:t>
      </w:r>
    </w:p>
    <w:p w14:paraId="3031B5C0" w14:textId="0A0AFA27" w:rsidR="00D90A20" w:rsidRDefault="00D90A20" w:rsidP="00D90A20">
      <w:pPr>
        <w:pStyle w:val="BodyText"/>
      </w:pPr>
      <w:r>
        <w:t>Extrahepatic cholangiocarcinoma</w:t>
      </w:r>
    </w:p>
    <w:p w14:paraId="3762821F" w14:textId="77777777" w:rsidR="00D90A20" w:rsidRPr="008D1D8B" w:rsidRDefault="00D90A20" w:rsidP="00D90A20">
      <w:pPr>
        <w:pStyle w:val="BodyText"/>
      </w:pPr>
      <w:r w:rsidRPr="008D1D8B">
        <w:t>All other indications are considered expe</w:t>
      </w:r>
      <w:r>
        <w:t>rimental/investigational and</w:t>
      </w:r>
      <w:r w:rsidRPr="008D1D8B">
        <w:t xml:space="preserve"> not </w:t>
      </w:r>
      <w:r>
        <w:t>medically necessary</w:t>
      </w:r>
      <w:r w:rsidRPr="008D1D8B">
        <w:t>.</w:t>
      </w:r>
    </w:p>
    <w:p w14:paraId="3ADA8BAC" w14:textId="3C9D70B7" w:rsidR="00D90A20" w:rsidRDefault="00D90A20" w:rsidP="00807A85">
      <w:pPr>
        <w:pStyle w:val="Heading2"/>
        <w:tabs>
          <w:tab w:val="left" w:pos="9105"/>
        </w:tabs>
      </w:pPr>
      <w:r>
        <w:lastRenderedPageBreak/>
        <w:t>Documentation</w:t>
      </w:r>
    </w:p>
    <w:p w14:paraId="6D2D26F7" w14:textId="77777777" w:rsidR="00D90A20" w:rsidRPr="005009F7" w:rsidRDefault="00D90A20" w:rsidP="00D90A20">
      <w:pPr>
        <w:pStyle w:val="BodyText"/>
        <w:rPr>
          <w:bCs/>
        </w:rPr>
      </w:pPr>
      <w:r>
        <w:t>Submission of the following information is necessary to initiate the prior authorization review:</w:t>
      </w:r>
      <w:r w:rsidRPr="00D11E70">
        <w:t xml:space="preserve"> </w:t>
      </w:r>
      <w:r w:rsidRPr="00347852">
        <w:t xml:space="preserve">Documentation of FGFR2 </w:t>
      </w:r>
      <w:r>
        <w:t xml:space="preserve">gene </w:t>
      </w:r>
      <w:r w:rsidRPr="00347852">
        <w:t>fusion</w:t>
      </w:r>
      <w:r>
        <w:t>s</w:t>
      </w:r>
      <w:r w:rsidRPr="00347852">
        <w:t xml:space="preserve"> or rearrangement</w:t>
      </w:r>
      <w:r>
        <w:t>s.</w:t>
      </w:r>
    </w:p>
    <w:p w14:paraId="4C5D9CE4" w14:textId="3B93E4A8" w:rsidR="00D90A20" w:rsidRPr="008D1D8B" w:rsidRDefault="00D90A20" w:rsidP="00D90A20">
      <w:pPr>
        <w:pStyle w:val="Heading2"/>
      </w:pPr>
      <w:r w:rsidRPr="008D1D8B">
        <w:t>C</w:t>
      </w:r>
      <w:r>
        <w:t>overage C</w:t>
      </w:r>
      <w:r w:rsidRPr="008D1D8B">
        <w:t>riteria</w:t>
      </w:r>
    </w:p>
    <w:p w14:paraId="69BDF5F7" w14:textId="7C7C7CDD" w:rsidR="00D90A20" w:rsidRPr="0069266E" w:rsidRDefault="00D90A20" w:rsidP="00D90A20">
      <w:pPr>
        <w:pStyle w:val="Heading3"/>
        <w:rPr>
          <w:vertAlign w:val="superscript"/>
        </w:rPr>
      </w:pPr>
      <w:r w:rsidRPr="0069266E">
        <w:t>Cholangiocarcinoma</w:t>
      </w:r>
    </w:p>
    <w:p w14:paraId="3791FB31" w14:textId="77777777" w:rsidR="00D90A20" w:rsidRDefault="00D90A20" w:rsidP="00D90A20">
      <w:pPr>
        <w:pStyle w:val="BodyText"/>
      </w:pPr>
      <w:r w:rsidRPr="00950C8B">
        <w:t>Authorization of 12 months may be granted</w:t>
      </w:r>
      <w:r>
        <w:t xml:space="preserve"> as a single agent</w:t>
      </w:r>
      <w:r w:rsidRPr="00950C8B">
        <w:t xml:space="preserve"> for subsequent treatment of unresectable,</w:t>
      </w:r>
      <w:r>
        <w:t xml:space="preserve"> </w:t>
      </w:r>
      <w:bookmarkStart w:id="0" w:name="OLE_LINK50"/>
      <w:bookmarkStart w:id="1" w:name="OLE_LINK53"/>
      <w:r>
        <w:t>resected gross residual (R2) disease</w:t>
      </w:r>
      <w:bookmarkEnd w:id="0"/>
      <w:bookmarkEnd w:id="1"/>
      <w:r>
        <w:t>,</w:t>
      </w:r>
      <w:r w:rsidRPr="00950C8B">
        <w:t xml:space="preserve"> locally advanced, or metastatic cholangiocarcinoma with FGFR2 gene fusions or rearrangements.</w:t>
      </w:r>
    </w:p>
    <w:p w14:paraId="1EAE19BE" w14:textId="79F58358" w:rsidR="00D90A20" w:rsidRPr="008D1D8B" w:rsidRDefault="00D90A20" w:rsidP="00D90A20">
      <w:pPr>
        <w:pStyle w:val="Heading2"/>
      </w:pPr>
      <w:r w:rsidRPr="008D1D8B">
        <w:t xml:space="preserve">Continuation </w:t>
      </w:r>
      <w:r w:rsidR="00294A42">
        <w:t>o</w:t>
      </w:r>
      <w:r w:rsidRPr="008D1D8B">
        <w:t>f Therapy</w:t>
      </w:r>
    </w:p>
    <w:p w14:paraId="181E51FC" w14:textId="77777777" w:rsidR="00D90A20" w:rsidRPr="0011263A" w:rsidRDefault="00D90A20" w:rsidP="00D90A20">
      <w:pPr>
        <w:pStyle w:val="BodyText"/>
      </w:pPr>
      <w:r w:rsidRPr="0011263A">
        <w:t xml:space="preserve">Authorization of 12 months may be granted for continued treatment in members requesting reauthorization for an </w:t>
      </w:r>
      <w:r>
        <w:t>indication listed in the coverage criteria section when there is no evidence of unacceptable toxicity or disease progression while on the current regimen</w:t>
      </w:r>
      <w:r w:rsidRPr="0011263A">
        <w:t>.</w:t>
      </w:r>
    </w:p>
    <w:p w14:paraId="3EF47A52" w14:textId="09345A8F" w:rsidR="00D90A20" w:rsidRDefault="00D90A20" w:rsidP="00D90A20">
      <w:pPr>
        <w:pStyle w:val="Heading2"/>
      </w:pPr>
      <w:r w:rsidRPr="003A6F34">
        <w:t>References</w:t>
      </w:r>
    </w:p>
    <w:p w14:paraId="44056FB5" w14:textId="77777777" w:rsidR="00D90A20" w:rsidRPr="00D90A20" w:rsidRDefault="00D90A20" w:rsidP="00807A85">
      <w:pPr>
        <w:pStyle w:val="ReferenceOrdered"/>
        <w:ind w:left="360"/>
      </w:pPr>
      <w:bookmarkStart w:id="2" w:name="_Hlk73455579"/>
      <w:proofErr w:type="spellStart"/>
      <w:r w:rsidRPr="00D90A20">
        <w:t>Lytgobi</w:t>
      </w:r>
      <w:proofErr w:type="spellEnd"/>
      <w:r w:rsidRPr="00D90A20">
        <w:t xml:space="preserve"> [package insert]. Princeton, NJ: Taiho Oncology, Inc.; April 2024.</w:t>
      </w:r>
    </w:p>
    <w:bookmarkEnd w:id="2"/>
    <w:p w14:paraId="47E1A10C" w14:textId="66927541" w:rsidR="00C44990" w:rsidRPr="0018073D" w:rsidRDefault="00D90A20" w:rsidP="002623B7">
      <w:pPr>
        <w:pStyle w:val="ReferenceOrdered"/>
        <w:ind w:left="360"/>
      </w:pPr>
      <w:r w:rsidRPr="00807A85">
        <w:t>The NCCN Drugs &amp; Biologics Compendium</w:t>
      </w:r>
      <w:r w:rsidRPr="006C1674">
        <w:t>®</w:t>
      </w:r>
      <w:r w:rsidRPr="00807A85">
        <w:t xml:space="preserve"> © 2024 National Comprehensive Cancer Network, Inc. </w:t>
      </w:r>
      <w:r w:rsidRPr="00FD7C75">
        <w:t>http://www.nccn.org</w:t>
      </w:r>
      <w:r w:rsidRPr="00807A85">
        <w:t>. Accessed July 7, 2024.</w:t>
      </w:r>
    </w:p>
    <w:sectPr w:rsidR="00C44990" w:rsidRPr="0018073D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02C22" w14:textId="77777777" w:rsidR="009477D1" w:rsidRDefault="009477D1">
      <w:r>
        <w:separator/>
      </w:r>
    </w:p>
  </w:endnote>
  <w:endnote w:type="continuationSeparator" w:id="0">
    <w:p w14:paraId="10CA329E" w14:textId="77777777" w:rsidR="009477D1" w:rsidRDefault="009477D1">
      <w:r>
        <w:continuationSeparator/>
      </w:r>
    </w:p>
  </w:endnote>
  <w:endnote w:type="continuationNotice" w:id="1">
    <w:p w14:paraId="20A9CC8D" w14:textId="77777777" w:rsidR="009477D1" w:rsidRDefault="009477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476D8D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B50FA" w:rsidRPr="006F3CFF">
      <w:rPr>
        <w:rFonts w:cs="Arial"/>
        <w:noProof/>
        <w:sz w:val="16"/>
        <w:szCs w:val="16"/>
      </w:rPr>
      <w:t>Lytgobi</w:t>
    </w:r>
    <w:r w:rsidR="00BB50FA">
      <w:rPr>
        <w:rFonts w:cs="Arial"/>
        <w:noProof/>
        <w:snapToGrid w:val="0"/>
        <w:color w:val="000000"/>
        <w:sz w:val="16"/>
        <w:szCs w:val="16"/>
      </w:rPr>
      <w:t xml:space="preserve"> SGM 5638-A</w:t>
    </w:r>
    <w:r w:rsidR="00BB50FA" w:rsidRPr="006F3CFF">
      <w:rPr>
        <w:rFonts w:cs="Arial"/>
        <w:noProof/>
        <w:sz w:val="16"/>
        <w:szCs w:val="16"/>
      </w:rPr>
      <w:t xml:space="preserve"> </w:t>
    </w:r>
    <w:r w:rsidR="0029263A">
      <w:rPr>
        <w:rFonts w:cs="Arial"/>
        <w:noProof/>
        <w:sz w:val="16"/>
        <w:szCs w:val="16"/>
      </w:rPr>
      <w:t>P</w:t>
    </w:r>
    <w:r w:rsidR="00BB50FA" w:rsidRPr="006F3CFF">
      <w:rPr>
        <w:rFonts w:cs="Arial"/>
        <w:noProof/>
        <w:sz w:val="16"/>
        <w:szCs w:val="16"/>
      </w:rPr>
      <w:t>2024</w:t>
    </w:r>
    <w:r w:rsidR="00BB50FA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24CA9E4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747E994" w:rsidR="00F75C81" w:rsidRPr="00AA1E6A" w:rsidRDefault="00C36B72" w:rsidP="006F3CF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D44AB3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97942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B50FA" w:rsidRPr="006F3CFF">
      <w:rPr>
        <w:rFonts w:cs="Arial"/>
        <w:noProof/>
        <w:sz w:val="16"/>
        <w:szCs w:val="16"/>
        <w:lang w:val="pt-BR"/>
      </w:rPr>
      <w:t>Lytgobi</w:t>
    </w:r>
    <w:r w:rsidR="00BB50FA">
      <w:rPr>
        <w:rFonts w:cs="Arial"/>
        <w:noProof/>
        <w:snapToGrid w:val="0"/>
        <w:color w:val="000000"/>
        <w:sz w:val="16"/>
        <w:szCs w:val="16"/>
        <w:lang w:val="pt-BR"/>
      </w:rPr>
      <w:t xml:space="preserve"> SGM 5638-A</w:t>
    </w:r>
    <w:r w:rsidR="00BB50FA" w:rsidRPr="006F3CFF">
      <w:rPr>
        <w:rFonts w:cs="Arial"/>
        <w:noProof/>
        <w:sz w:val="16"/>
        <w:szCs w:val="16"/>
        <w:lang w:val="pt-BR"/>
      </w:rPr>
      <w:t xml:space="preserve"> </w:t>
    </w:r>
    <w:r w:rsidR="0029263A">
      <w:rPr>
        <w:rFonts w:cs="Arial"/>
        <w:noProof/>
        <w:sz w:val="16"/>
        <w:szCs w:val="16"/>
        <w:lang w:val="pt-BR"/>
      </w:rPr>
      <w:t>P</w:t>
    </w:r>
    <w:r w:rsidR="00BB50FA" w:rsidRPr="006F3CFF">
      <w:rPr>
        <w:rFonts w:cs="Arial"/>
        <w:noProof/>
        <w:sz w:val="16"/>
        <w:szCs w:val="16"/>
        <w:lang w:val="pt-BR"/>
      </w:rPr>
      <w:t>2024</w:t>
    </w:r>
    <w:r w:rsidR="00BB50FA"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97942">
      <w:rPr>
        <w:rFonts w:cs="Arial"/>
        <w:snapToGrid w:val="0"/>
        <w:color w:val="000000"/>
        <w:sz w:val="16"/>
        <w:lang w:val="pt-BR"/>
      </w:rPr>
      <w:tab/>
      <w:t>© 202</w:t>
    </w:r>
    <w:r w:rsidR="00D74279" w:rsidRPr="00E97942">
      <w:rPr>
        <w:rFonts w:cs="Arial"/>
        <w:snapToGrid w:val="0"/>
        <w:color w:val="000000"/>
        <w:sz w:val="16"/>
        <w:lang w:val="pt-BR"/>
      </w:rPr>
      <w:t>4</w:t>
    </w:r>
    <w:r w:rsidRPr="00E97942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0B0E04C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BB3965F" w:rsidR="00ED04EC" w:rsidRPr="00F50D98" w:rsidRDefault="00F50D98" w:rsidP="006F3CF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FA1BB" w14:textId="77777777" w:rsidR="009477D1" w:rsidRDefault="009477D1">
      <w:r>
        <w:separator/>
      </w:r>
    </w:p>
  </w:footnote>
  <w:footnote w:type="continuationSeparator" w:id="0">
    <w:p w14:paraId="7317C037" w14:textId="77777777" w:rsidR="009477D1" w:rsidRDefault="009477D1">
      <w:r>
        <w:continuationSeparator/>
      </w:r>
    </w:p>
  </w:footnote>
  <w:footnote w:type="continuationNotice" w:id="1">
    <w:p w14:paraId="3D2BFC6E" w14:textId="77777777" w:rsidR="009477D1" w:rsidRDefault="009477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65E759C" w:rsidR="00ED04EC" w:rsidRPr="004C7F1D" w:rsidRDefault="00807A85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5638</w:t>
          </w:r>
          <w:r w:rsidRPr="006917F9">
            <w:rPr>
              <w:rFonts w:ascii="Arial" w:hAnsi="Arial" w:cs="Arial"/>
              <w:sz w:val="16"/>
              <w:szCs w:val="16"/>
            </w:rP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5A389FEA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CA81C2A"/>
    <w:multiLevelType w:val="hybridMultilevel"/>
    <w:tmpl w:val="0E763C78"/>
    <w:lvl w:ilvl="0" w:tplc="AB322A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1950313333">
    <w:abstractNumId w:val="20"/>
  </w:num>
  <w:num w:numId="27" w16cid:durableId="1866016584">
    <w:abstractNumId w:val="19"/>
  </w:num>
  <w:num w:numId="28" w16cid:durableId="2064867695">
    <w:abstractNumId w:val="10"/>
  </w:num>
  <w:num w:numId="29" w16cid:durableId="1214581057">
    <w:abstractNumId w:val="15"/>
  </w:num>
  <w:num w:numId="30" w16cid:durableId="1572275847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73D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CB1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63A"/>
    <w:rsid w:val="00292E08"/>
    <w:rsid w:val="00293003"/>
    <w:rsid w:val="00293574"/>
    <w:rsid w:val="00294324"/>
    <w:rsid w:val="002946D4"/>
    <w:rsid w:val="002947C0"/>
    <w:rsid w:val="00294A42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88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2E2E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1FE"/>
    <w:rsid w:val="004F7DE7"/>
    <w:rsid w:val="004F7DFB"/>
    <w:rsid w:val="005009F7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1699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674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CF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A85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0967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7D1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E13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0FA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5031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B2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5A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0A20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7FA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AC1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942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4AC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D7C75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9C9F9-5BA7-4A85-9F4F-82B09E78980F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Lytgobi SGM 5638-A 2024</vt:lpstr>
    </vt:vector>
  </TitlesOfParts>
  <Company>PCS Health Systems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Lytgobi SGM 5638-A 2024</dc:title>
  <dc:subject/>
  <dc:creator>CVS Caremark</dc:creator>
  <cp:keywords/>
  <cp:lastModifiedBy>Huerta, Linda M</cp:lastModifiedBy>
  <cp:revision>4</cp:revision>
  <cp:lastPrinted>2018-01-09T11:01:00Z</cp:lastPrinted>
  <dcterms:created xsi:type="dcterms:W3CDTF">2024-10-28T21:42:00Z</dcterms:created>
  <dcterms:modified xsi:type="dcterms:W3CDTF">2024-11-14T00:54:00Z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1765300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